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6E56895A" w:rsidR="00BA507B" w:rsidRPr="003627C5"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3627C5" w:rsidRPr="003627C5">
        <w:rPr>
          <w:rFonts w:ascii="Times New Roman" w:hAnsi="Times New Roman" w:cs="Times New Roman"/>
          <w:bCs/>
          <w:sz w:val="24"/>
          <w:szCs w:val="24"/>
        </w:rPr>
        <w:t>Arnett Caviel</w:t>
      </w:r>
      <w:r w:rsidRPr="003627C5">
        <w:rPr>
          <w:rFonts w:ascii="Times New Roman" w:eastAsia="Times New Roman" w:hAnsi="Times New Roman" w:cs="Times New Roman"/>
          <w:sz w:val="24"/>
          <w:szCs w:val="24"/>
        </w:rPr>
        <w:t xml:space="preserve">, </w:t>
      </w:r>
      <w:r w:rsidR="003627C5" w:rsidRPr="003627C5">
        <w:rPr>
          <w:rFonts w:ascii="Times New Roman" w:eastAsia="Times New Roman" w:hAnsi="Times New Roman" w:cs="Baskerville Old Face"/>
          <w:sz w:val="24"/>
          <w:szCs w:val="24"/>
        </w:rPr>
        <w:t>Attorney</w:t>
      </w:r>
    </w:p>
    <w:p w14:paraId="43DBA660" w14:textId="6C1D57DB" w:rsidR="00BA507B" w:rsidRPr="003627C5" w:rsidRDefault="003627C5" w:rsidP="00BA507B">
      <w:pPr>
        <w:ind w:left="720" w:firstLine="720"/>
        <w:jc w:val="both"/>
        <w:rPr>
          <w:rFonts w:ascii="Times New Roman" w:hAnsi="Times New Roman" w:cs="Times New Roman"/>
          <w:sz w:val="24"/>
          <w:szCs w:val="24"/>
        </w:rPr>
      </w:pPr>
      <w:r w:rsidRPr="003627C5">
        <w:rPr>
          <w:rFonts w:ascii="Times New Roman" w:eastAsia="Times New Roman" w:hAnsi="Times New Roman" w:cs="Times New Roman"/>
          <w:sz w:val="24"/>
          <w:szCs w:val="24"/>
        </w:rPr>
        <w:t xml:space="preserve">Legal </w:t>
      </w:r>
      <w:r w:rsidR="00BA507B" w:rsidRPr="003627C5">
        <w:rPr>
          <w:rFonts w:ascii="Times New Roman" w:eastAsia="Times New Roman" w:hAnsi="Times New Roman" w:cs="Times New Roman"/>
          <w:sz w:val="24"/>
          <w:szCs w:val="24"/>
        </w:rPr>
        <w:t>Division</w:t>
      </w:r>
    </w:p>
    <w:p w14:paraId="5C8A7F79" w14:textId="77777777" w:rsidR="00BA507B" w:rsidRPr="003627C5" w:rsidRDefault="00BA507B" w:rsidP="00BA507B">
      <w:pPr>
        <w:tabs>
          <w:tab w:val="left" w:pos="1440"/>
        </w:tabs>
        <w:jc w:val="both"/>
        <w:rPr>
          <w:rFonts w:ascii="Times New Roman" w:hAnsi="Times New Roman" w:cs="Times New Roman"/>
          <w:sz w:val="24"/>
          <w:szCs w:val="24"/>
        </w:rPr>
      </w:pPr>
    </w:p>
    <w:p w14:paraId="4849338D" w14:textId="71DAE86C" w:rsidR="00BA507B" w:rsidRPr="003627C5" w:rsidRDefault="00BA507B" w:rsidP="00BA507B">
      <w:pPr>
        <w:jc w:val="both"/>
        <w:rPr>
          <w:rFonts w:ascii="Times New Roman" w:eastAsia="Times New Roman" w:hAnsi="Times New Roman" w:cs="Baskerville Old Face"/>
          <w:b/>
          <w:bCs/>
          <w:sz w:val="24"/>
          <w:szCs w:val="24"/>
        </w:rPr>
      </w:pPr>
      <w:r w:rsidRPr="003627C5">
        <w:rPr>
          <w:rFonts w:ascii="Times New Roman" w:hAnsi="Times New Roman" w:cs="Times New Roman"/>
          <w:b/>
          <w:sz w:val="24"/>
          <w:szCs w:val="24"/>
        </w:rPr>
        <w:t>FROM:</w:t>
      </w:r>
      <w:r w:rsidRPr="003627C5">
        <w:rPr>
          <w:rFonts w:ascii="Times New Roman" w:hAnsi="Times New Roman" w:cs="Times New Roman"/>
          <w:b/>
          <w:sz w:val="24"/>
          <w:szCs w:val="24"/>
        </w:rPr>
        <w:tab/>
      </w:r>
      <w:r w:rsidR="003627C5" w:rsidRPr="003627C5">
        <w:rPr>
          <w:rFonts w:ascii="Times New Roman" w:hAnsi="Times New Roman" w:cs="Times New Roman"/>
          <w:bCs/>
          <w:sz w:val="24"/>
          <w:szCs w:val="24"/>
        </w:rPr>
        <w:t>Fred Bednarski III</w:t>
      </w:r>
      <w:r w:rsidRPr="003627C5">
        <w:rPr>
          <w:rFonts w:ascii="Times New Roman" w:eastAsia="Times New Roman" w:hAnsi="Times New Roman" w:cs="Baskerville Old Face"/>
          <w:bCs/>
          <w:sz w:val="24"/>
          <w:szCs w:val="24"/>
        </w:rPr>
        <w:t>,</w:t>
      </w:r>
      <w:r w:rsidRPr="003627C5">
        <w:rPr>
          <w:rFonts w:ascii="Times New Roman" w:eastAsia="Times New Roman" w:hAnsi="Times New Roman" w:cs="Baskerville Old Face"/>
          <w:sz w:val="24"/>
          <w:szCs w:val="24"/>
        </w:rPr>
        <w:t xml:space="preserve"> </w:t>
      </w:r>
      <w:bookmarkStart w:id="1" w:name="_Hlk61339093"/>
      <w:r w:rsidRPr="003627C5">
        <w:rPr>
          <w:rFonts w:ascii="Times New Roman" w:eastAsia="Times New Roman" w:hAnsi="Times New Roman" w:cs="Baskerville Old Face"/>
          <w:sz w:val="24"/>
          <w:szCs w:val="24"/>
        </w:rPr>
        <w:t>Financial Analyst</w:t>
      </w:r>
    </w:p>
    <w:bookmarkEnd w:id="1"/>
    <w:p w14:paraId="3B4B85F5" w14:textId="77777777" w:rsidR="00BA507B" w:rsidRPr="003627C5" w:rsidRDefault="00BA507B" w:rsidP="00BA507B">
      <w:pPr>
        <w:ind w:left="1440"/>
        <w:jc w:val="both"/>
        <w:rPr>
          <w:rFonts w:ascii="Times New Roman" w:eastAsia="Times New Roman" w:hAnsi="Times New Roman" w:cs="Times New Roman"/>
          <w:sz w:val="24"/>
          <w:szCs w:val="24"/>
        </w:rPr>
      </w:pPr>
      <w:r w:rsidRPr="003627C5">
        <w:rPr>
          <w:rFonts w:ascii="Times New Roman" w:eastAsia="Times New Roman" w:hAnsi="Times New Roman" w:cs="Times New Roman"/>
          <w:sz w:val="24"/>
          <w:szCs w:val="24"/>
        </w:rPr>
        <w:t>Rate Regulation Division</w:t>
      </w:r>
    </w:p>
    <w:p w14:paraId="5B5EEAC2" w14:textId="77777777" w:rsidR="00BA507B" w:rsidRPr="003627C5" w:rsidRDefault="00BA507B" w:rsidP="00BA507B">
      <w:pPr>
        <w:tabs>
          <w:tab w:val="left" w:pos="1170"/>
        </w:tabs>
        <w:jc w:val="both"/>
        <w:outlineLvl w:val="0"/>
        <w:rPr>
          <w:rFonts w:ascii="Times New Roman" w:hAnsi="Times New Roman" w:cs="Times New Roman"/>
          <w:sz w:val="24"/>
          <w:szCs w:val="24"/>
        </w:rPr>
      </w:pPr>
    </w:p>
    <w:p w14:paraId="6360FDC0" w14:textId="5378A8A6" w:rsidR="00BA507B" w:rsidRPr="003627C5" w:rsidRDefault="00BA507B" w:rsidP="00BA507B">
      <w:pPr>
        <w:tabs>
          <w:tab w:val="left" w:pos="1170"/>
        </w:tabs>
        <w:jc w:val="both"/>
        <w:rPr>
          <w:rFonts w:ascii="Times New Roman" w:hAnsi="Times New Roman" w:cs="Times New Roman"/>
          <w:bCs/>
          <w:sz w:val="24"/>
          <w:szCs w:val="24"/>
        </w:rPr>
      </w:pPr>
      <w:r w:rsidRPr="003627C5">
        <w:rPr>
          <w:rFonts w:ascii="Times New Roman" w:hAnsi="Times New Roman" w:cs="Times New Roman"/>
          <w:b/>
          <w:sz w:val="24"/>
          <w:szCs w:val="24"/>
        </w:rPr>
        <w:t>DATE:</w:t>
      </w:r>
      <w:r w:rsidRPr="003627C5">
        <w:rPr>
          <w:rFonts w:ascii="Times New Roman" w:hAnsi="Times New Roman" w:cs="Times New Roman"/>
          <w:b/>
          <w:sz w:val="24"/>
          <w:szCs w:val="24"/>
        </w:rPr>
        <w:tab/>
      </w:r>
      <w:r w:rsidRPr="003627C5">
        <w:rPr>
          <w:rFonts w:ascii="Times New Roman" w:hAnsi="Times New Roman" w:cs="Times New Roman"/>
          <w:b/>
          <w:sz w:val="24"/>
          <w:szCs w:val="24"/>
        </w:rPr>
        <w:tab/>
      </w:r>
      <w:r w:rsidRPr="003627C5">
        <w:rPr>
          <w:rFonts w:ascii="Times New Roman" w:hAnsi="Times New Roman" w:cs="Times New Roman"/>
          <w:bCs/>
          <w:sz w:val="24"/>
          <w:szCs w:val="24"/>
        </w:rPr>
        <w:t>M</w:t>
      </w:r>
      <w:r w:rsidR="003627C5">
        <w:rPr>
          <w:rFonts w:ascii="Times New Roman" w:hAnsi="Times New Roman" w:cs="Times New Roman"/>
          <w:bCs/>
          <w:sz w:val="24"/>
          <w:szCs w:val="24"/>
        </w:rPr>
        <w:t xml:space="preserve">arch </w:t>
      </w:r>
      <w:r w:rsidR="005A27FD">
        <w:rPr>
          <w:rFonts w:ascii="Times New Roman" w:hAnsi="Times New Roman" w:cs="Times New Roman"/>
          <w:bCs/>
          <w:sz w:val="24"/>
          <w:szCs w:val="24"/>
        </w:rPr>
        <w:t>11</w:t>
      </w:r>
      <w:r w:rsidR="003627C5">
        <w:rPr>
          <w:rFonts w:ascii="Times New Roman" w:hAnsi="Times New Roman" w:cs="Times New Roman"/>
          <w:bCs/>
          <w:sz w:val="24"/>
          <w:szCs w:val="24"/>
        </w:rPr>
        <w:t>,</w:t>
      </w:r>
      <w:r w:rsidRPr="003627C5">
        <w:rPr>
          <w:rFonts w:ascii="Times New Roman" w:hAnsi="Times New Roman" w:cs="Times New Roman"/>
          <w:bCs/>
          <w:sz w:val="24"/>
          <w:szCs w:val="24"/>
        </w:rPr>
        <w:t xml:space="preserve"> </w:t>
      </w:r>
      <w:r w:rsidR="003627C5">
        <w:rPr>
          <w:rFonts w:ascii="Times New Roman" w:hAnsi="Times New Roman" w:cs="Times New Roman"/>
          <w:bCs/>
          <w:sz w:val="24"/>
          <w:szCs w:val="24"/>
        </w:rPr>
        <w:t>2022</w:t>
      </w:r>
    </w:p>
    <w:p w14:paraId="1AF39076" w14:textId="77777777" w:rsidR="00BA507B" w:rsidRPr="003627C5" w:rsidRDefault="00BA507B" w:rsidP="00BA507B">
      <w:pPr>
        <w:tabs>
          <w:tab w:val="left" w:pos="1170"/>
        </w:tabs>
        <w:jc w:val="both"/>
        <w:rPr>
          <w:rFonts w:ascii="Times New Roman" w:hAnsi="Times New Roman" w:cs="Times New Roman"/>
          <w:sz w:val="24"/>
          <w:szCs w:val="24"/>
        </w:rPr>
      </w:pPr>
    </w:p>
    <w:p w14:paraId="0CF9ACF4" w14:textId="1D61BC65" w:rsidR="00BA507B" w:rsidRPr="003627C5" w:rsidRDefault="00BA507B" w:rsidP="00BA507B">
      <w:pPr>
        <w:pBdr>
          <w:bottom w:val="single" w:sz="4" w:space="1" w:color="auto"/>
        </w:pBdr>
        <w:ind w:left="1440" w:hanging="1440"/>
        <w:jc w:val="both"/>
        <w:rPr>
          <w:rFonts w:ascii="Times New Roman" w:hAnsi="Times New Roman" w:cs="Times New Roman"/>
          <w:b/>
          <w:bCs/>
          <w:sz w:val="24"/>
          <w:szCs w:val="24"/>
        </w:rPr>
      </w:pPr>
      <w:r w:rsidRPr="003627C5">
        <w:rPr>
          <w:rFonts w:ascii="Times New Roman" w:hAnsi="Times New Roman" w:cs="Times New Roman"/>
          <w:b/>
          <w:sz w:val="24"/>
          <w:szCs w:val="24"/>
        </w:rPr>
        <w:t>RE:</w:t>
      </w:r>
      <w:r w:rsidRPr="003627C5">
        <w:rPr>
          <w:rFonts w:ascii="Times New Roman" w:hAnsi="Times New Roman" w:cs="Times New Roman"/>
          <w:b/>
          <w:sz w:val="24"/>
          <w:szCs w:val="24"/>
        </w:rPr>
        <w:tab/>
      </w:r>
      <w:r w:rsidRPr="003627C5">
        <w:rPr>
          <w:rFonts w:ascii="Times New Roman" w:eastAsia="Times New Roman" w:hAnsi="Times New Roman" w:cs="Times New Roman"/>
          <w:bCs/>
          <w:sz w:val="24"/>
          <w:szCs w:val="24"/>
        </w:rPr>
        <w:t xml:space="preserve">Docket No. </w:t>
      </w:r>
      <w:r w:rsidR="003627C5" w:rsidRPr="003627C5">
        <w:rPr>
          <w:rFonts w:ascii="Times New Roman" w:eastAsia="Times New Roman" w:hAnsi="Times New Roman" w:cs="Times New Roman"/>
          <w:bCs/>
          <w:sz w:val="24"/>
          <w:szCs w:val="24"/>
        </w:rPr>
        <w:t>52427</w:t>
      </w:r>
      <w:r w:rsidRPr="003627C5">
        <w:rPr>
          <w:bCs/>
          <w:sz w:val="24"/>
          <w:szCs w:val="24"/>
        </w:rPr>
        <w:t xml:space="preserve"> -</w:t>
      </w:r>
      <w:r w:rsidRPr="003627C5">
        <w:rPr>
          <w:sz w:val="24"/>
          <w:szCs w:val="24"/>
        </w:rPr>
        <w:t xml:space="preserve"> </w:t>
      </w:r>
      <w:r w:rsidR="003627C5">
        <w:rPr>
          <w:rFonts w:ascii="Times New Roman" w:eastAsia="Times New Roman" w:hAnsi="Times New Roman" w:cs="Times New Roman"/>
          <w:i/>
          <w:sz w:val="24"/>
          <w:szCs w:val="24"/>
        </w:rPr>
        <w:t>Application of Patterson Water Supply LLC and Myra Water System for Sale, Transfer, or Merger of Facilities and Certificate Rights in Cooke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534FCB45" w14:textId="77777777" w:rsidR="00012C5C" w:rsidRDefault="00012C5C">
      <w:pPr>
        <w:pStyle w:val="BodyText"/>
        <w:spacing w:after="0"/>
        <w:jc w:val="both"/>
        <w:rPr>
          <w:rFonts w:ascii="Calibri" w:hAnsi="Calibri" w:cs="Calibri"/>
          <w:b/>
          <w:bCs/>
        </w:rPr>
      </w:pPr>
    </w:p>
    <w:p w14:paraId="36306882" w14:textId="4E133E74" w:rsidR="00337428" w:rsidRPr="00630EEB" w:rsidRDefault="00012C5C">
      <w:pPr>
        <w:pStyle w:val="BodyText"/>
        <w:spacing w:after="0"/>
        <w:jc w:val="both"/>
        <w:rPr>
          <w:rFonts w:ascii="Times New Roman" w:hAnsi="Times New Roman" w:cs="Times New Roman"/>
        </w:rPr>
      </w:pPr>
      <w:r w:rsidRPr="00012C5C">
        <w:rPr>
          <w:rFonts w:ascii="Times New Roman" w:hAnsi="Times New Roman" w:cs="Times New Roman"/>
        </w:rPr>
        <w:t xml:space="preserve">On August 13, 2021, Patterson Water Supply LLC (Patterson) and Myra Water System (Myra) filed an application for the sale, transfer, or merger of facilities and certificate rights in Cooke County.  </w:t>
      </w:r>
    </w:p>
    <w:p w14:paraId="31E6D920" w14:textId="77777777" w:rsidR="00012C5C" w:rsidRDefault="00012C5C">
      <w:pPr>
        <w:pStyle w:val="BodyText"/>
        <w:spacing w:after="0"/>
        <w:jc w:val="both"/>
        <w:rPr>
          <w:rFonts w:ascii="Times New Roman" w:hAnsi="Times New Roman" w:cs="Times New Roman"/>
        </w:rPr>
      </w:pPr>
    </w:p>
    <w:p w14:paraId="7A26236E" w14:textId="4F3A8EAB"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w:t>
      </w:r>
      <w:r w:rsidR="00E70EC4">
        <w:rPr>
          <w:rFonts w:ascii="Times New Roman" w:hAnsi="Times New Roman" w:cs="Times New Roman"/>
        </w:rPr>
        <w:t xml:space="preserve"> a finding</w:t>
      </w:r>
      <w:r>
        <w:rPr>
          <w:rFonts w:ascii="Times New Roman" w:hAnsi="Times New Roman" w:cs="Times New Roman"/>
        </w:rPr>
        <w:t xml:space="preserve"> that </w:t>
      </w:r>
      <w:r w:rsidR="00012C5C">
        <w:rPr>
          <w:rFonts w:ascii="Times New Roman" w:hAnsi="Times New Roman" w:cs="Times New Roman"/>
        </w:rPr>
        <w:t>Patterson</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012C5C">
        <w:rPr>
          <w:rFonts w:ascii="Times New Roman" w:hAnsi="Times New Roman" w:cs="Times New Roman"/>
        </w:rPr>
        <w:t>Patterson</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012C5C">
        <w:rPr>
          <w:rFonts w:ascii="Times New Roman" w:hAnsi="Times New Roman" w:cs="Times New Roman"/>
        </w:rPr>
        <w:t>Patterson</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740772CF"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012C5C">
        <w:rPr>
          <w:rFonts w:ascii="Times New Roman" w:eastAsia="Times New Roman" w:hAnsi="Times New Roman" w:cs="Times New Roman"/>
          <w:sz w:val="24"/>
          <w:szCs w:val="24"/>
        </w:rPr>
        <w:t>Patterson</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2E5585FC" w:rsidR="00B137BB" w:rsidRPr="00270C21" w:rsidRDefault="00600CE9" w:rsidP="00680FB0">
      <w:pPr>
        <w:pStyle w:val="BodyText"/>
        <w:spacing w:after="0"/>
        <w:jc w:val="both"/>
        <w:rPr>
          <w:rFonts w:ascii="Times New Roman" w:hAnsi="Times New Roman" w:cs="Times New Roman"/>
        </w:rPr>
      </w:pPr>
      <w:r w:rsidRPr="00270C21">
        <w:rPr>
          <w:rFonts w:ascii="Times New Roman" w:eastAsia="Calibri" w:hAnsi="Times New Roman" w:cs="Times New Roman"/>
        </w:rPr>
        <w:t>My</w:t>
      </w:r>
      <w:r w:rsidR="00B137BB" w:rsidRPr="00270C21">
        <w:rPr>
          <w:rFonts w:ascii="Times New Roman" w:eastAsia="Calibri" w:hAnsi="Times New Roman" w:cs="Times New Roman"/>
        </w:rPr>
        <w:t xml:space="preserve"> analysis is based on</w:t>
      </w:r>
      <w:r w:rsidR="00012C5C" w:rsidRPr="00270C21">
        <w:rPr>
          <w:rFonts w:ascii="Times New Roman" w:eastAsia="Calibri" w:hAnsi="Times New Roman" w:cs="Times New Roman"/>
        </w:rPr>
        <w:t xml:space="preserve"> Patterson’s</w:t>
      </w:r>
      <w:r w:rsidR="00B137BB" w:rsidRPr="00270C21">
        <w:rPr>
          <w:rFonts w:ascii="Times New Roman" w:eastAsia="Calibri" w:hAnsi="Times New Roman" w:cs="Times New Roman"/>
        </w:rPr>
        <w:t xml:space="preserve"> financial statements ending </w:t>
      </w:r>
      <w:r w:rsidR="00012C5C" w:rsidRPr="00270C21">
        <w:rPr>
          <w:rFonts w:ascii="Times New Roman" w:hAnsi="Times New Roman" w:cs="Times New Roman"/>
        </w:rPr>
        <w:t>December 31, 2020</w:t>
      </w:r>
      <w:r w:rsidR="00B137BB" w:rsidRPr="00270C21">
        <w:rPr>
          <w:rFonts w:ascii="Times New Roman" w:eastAsia="Calibri" w:hAnsi="Times New Roman" w:cs="Times New Roman"/>
        </w:rPr>
        <w:t>.</w:t>
      </w:r>
      <w:r w:rsidR="009F3766" w:rsidRPr="00270C21">
        <w:rPr>
          <w:rFonts w:ascii="Times New Roman" w:eastAsia="Calibri" w:hAnsi="Times New Roman" w:cs="Times New Roman"/>
        </w:rPr>
        <w:t xml:space="preserve">  Patterson</w:t>
      </w:r>
      <w:r w:rsidR="00270C21">
        <w:rPr>
          <w:rFonts w:ascii="Times New Roman" w:eastAsia="Calibri" w:hAnsi="Times New Roman" w:cs="Times New Roman"/>
        </w:rPr>
        <w:t>’</w:t>
      </w:r>
      <w:r w:rsidR="009F3766" w:rsidRPr="00270C21">
        <w:rPr>
          <w:rFonts w:ascii="Times New Roman" w:eastAsia="Calibri" w:hAnsi="Times New Roman" w:cs="Times New Roman"/>
        </w:rPr>
        <w:t xml:space="preserve">s financial statements report long-term debt of </w:t>
      </w:r>
      <w:r w:rsidR="00270C21" w:rsidRPr="00270C21">
        <w:rPr>
          <w:rFonts w:ascii="Times New Roman" w:eastAsia="Calibri" w:hAnsi="Times New Roman" w:cs="Times New Roman"/>
        </w:rPr>
        <w:t>$114,780</w:t>
      </w:r>
      <w:r w:rsidR="00270C21">
        <w:rPr>
          <w:rFonts w:ascii="Times New Roman" w:eastAsia="Calibri" w:hAnsi="Times New Roman" w:cs="Times New Roman"/>
        </w:rPr>
        <w:t xml:space="preserve"> and equity of $664,859.  </w:t>
      </w:r>
      <w:r w:rsidR="00270C21" w:rsidRPr="00270C21">
        <w:rPr>
          <w:rFonts w:ascii="Times New Roman" w:eastAsia="Calibri" w:hAnsi="Times New Roman" w:cs="Times New Roman"/>
        </w:rPr>
        <w:t xml:space="preserve">The debt-to-equity ratio is </w:t>
      </w:r>
      <w:r w:rsidR="00270C21">
        <w:rPr>
          <w:rFonts w:ascii="Times New Roman" w:eastAsia="Calibri" w:hAnsi="Times New Roman" w:cs="Times New Roman"/>
        </w:rPr>
        <w:t>0.17</w:t>
      </w:r>
      <w:r w:rsidR="00270C21" w:rsidRPr="00270C21">
        <w:rPr>
          <w:rFonts w:ascii="Times New Roman" w:eastAsia="Calibri" w:hAnsi="Times New Roman" w:cs="Times New Roman"/>
        </w:rPr>
        <w:t xml:space="preserve">.  Because the ratio is less than 1.0, I recommend a finding that </w:t>
      </w:r>
      <w:r w:rsidR="00270C21">
        <w:rPr>
          <w:rFonts w:ascii="Times New Roman" w:eastAsia="Calibri" w:hAnsi="Times New Roman" w:cs="Times New Roman"/>
        </w:rPr>
        <w:t>Patterson</w:t>
      </w:r>
      <w:r w:rsidR="00270C21" w:rsidRPr="00270C21">
        <w:rPr>
          <w:rFonts w:ascii="Times New Roman" w:eastAsia="Calibri" w:hAnsi="Times New Roman" w:cs="Times New Roman"/>
        </w:rPr>
        <w:t xml:space="preserve"> meets the leverage test specified in 16 TAC § 24.11(e)(2)(A).</w:t>
      </w:r>
      <w:r w:rsidR="00B137BB" w:rsidRPr="00270C21">
        <w:rPr>
          <w:rFonts w:ascii="Times New Roman" w:eastAsia="Calibri" w:hAnsi="Times New Roman" w:cs="Times New Roman"/>
        </w:rPr>
        <w:t xml:space="preserve">  </w:t>
      </w:r>
    </w:p>
    <w:p w14:paraId="3B9C863F" w14:textId="77777777" w:rsidR="00270C21" w:rsidRDefault="00270C21">
      <w:pPr>
        <w:jc w:val="both"/>
        <w:rPr>
          <w:rFonts w:ascii="Times New Roman" w:eastAsia="Calibri" w:hAnsi="Times New Roman" w:cs="Times New Roman"/>
          <w:i/>
          <w:iCs/>
          <w:sz w:val="24"/>
          <w:szCs w:val="24"/>
          <w:u w:val="single"/>
        </w:rPr>
      </w:pPr>
    </w:p>
    <w:p w14:paraId="15AA92D9" w14:textId="2201D6DC"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3DE6DCF0"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5CB6B7C8" w14:textId="68B55044" w:rsidR="001C769A" w:rsidRDefault="001C769A">
      <w:pPr>
        <w:jc w:val="both"/>
        <w:rPr>
          <w:rFonts w:ascii="Times New Roman" w:eastAsia="Calibri" w:hAnsi="Times New Roman" w:cs="Times New Roman"/>
          <w:sz w:val="24"/>
          <w:szCs w:val="24"/>
        </w:rPr>
      </w:pPr>
    </w:p>
    <w:p w14:paraId="591128CF" w14:textId="0E4E2557" w:rsidR="00B137BB" w:rsidRPr="00630EEB" w:rsidRDefault="001C769A">
      <w:pPr>
        <w:jc w:val="both"/>
        <w:rPr>
          <w:rFonts w:ascii="Times New Roman" w:eastAsia="Calibri" w:hAnsi="Times New Roman" w:cs="Times New Roman"/>
          <w:sz w:val="24"/>
          <w:szCs w:val="24"/>
        </w:rPr>
      </w:pPr>
      <w:r w:rsidRPr="001C769A">
        <w:rPr>
          <w:rFonts w:ascii="Times New Roman" w:eastAsia="Calibri" w:hAnsi="Times New Roman" w:cs="Times New Roman"/>
          <w:sz w:val="24"/>
          <w:szCs w:val="24"/>
        </w:rPr>
        <w:lastRenderedPageBreak/>
        <w:t xml:space="preserve">Patterson’s financial projections show that there are no projected shortages to cover.  </w:t>
      </w:r>
      <w:r w:rsidR="000633EE"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B137BB" w:rsidRPr="00BD259A">
        <w:rPr>
          <w:rFonts w:ascii="Times New Roman" w:eastAsia="Calibri" w:hAnsi="Times New Roman" w:cs="Times New Roman"/>
          <w:b/>
          <w:bCs/>
          <w:sz w:val="24"/>
          <w:szCs w:val="24"/>
        </w:rPr>
        <w:t>.</w:t>
      </w:r>
      <w:r w:rsidR="00EB2B27">
        <w:rPr>
          <w:rFonts w:ascii="Times New Roman" w:eastAsia="Calibri" w:hAnsi="Times New Roman" w:cs="Times New Roman"/>
          <w:b/>
          <w:bCs/>
          <w:sz w:val="24"/>
          <w:szCs w:val="24"/>
        </w:rPr>
        <w:t xml:space="preserve">  </w:t>
      </w:r>
      <w:r w:rsidR="00EB2B27" w:rsidRPr="00EB2B27">
        <w:rPr>
          <w:rFonts w:ascii="Times New Roman" w:eastAsia="Calibri" w:hAnsi="Times New Roman" w:cs="Times New Roman"/>
          <w:sz w:val="24"/>
          <w:szCs w:val="24"/>
        </w:rPr>
        <w:t>Patterson’s 2020 financial statements include</w:t>
      </w:r>
      <w:r w:rsidR="00EB2B27">
        <w:rPr>
          <w:rFonts w:ascii="Times New Roman" w:eastAsia="Calibri" w:hAnsi="Times New Roman" w:cs="Times New Roman"/>
          <w:sz w:val="24"/>
          <w:szCs w:val="24"/>
        </w:rPr>
        <w:t xml:space="preserve"> $172,692 in</w:t>
      </w:r>
      <w:r w:rsidR="00EB2B27" w:rsidRPr="00EB2B27">
        <w:rPr>
          <w:rFonts w:ascii="Times New Roman" w:eastAsia="Calibri" w:hAnsi="Times New Roman" w:cs="Times New Roman"/>
          <w:sz w:val="24"/>
          <w:szCs w:val="24"/>
        </w:rPr>
        <w:t xml:space="preserve"> operating income</w:t>
      </w:r>
      <w:r w:rsidR="00EB2B27">
        <w:rPr>
          <w:rFonts w:ascii="Times New Roman" w:eastAsia="Calibri" w:hAnsi="Times New Roman" w:cs="Times New Roman"/>
          <w:sz w:val="24"/>
          <w:szCs w:val="24"/>
        </w:rPr>
        <w:t xml:space="preserve"> excluding depreciation expense</w:t>
      </w:r>
      <w:r w:rsidR="00EB2B27" w:rsidRPr="00EB2B27">
        <w:rPr>
          <w:rFonts w:ascii="Times New Roman" w:eastAsia="Calibri" w:hAnsi="Times New Roman" w:cs="Times New Roman"/>
          <w:sz w:val="24"/>
          <w:szCs w:val="24"/>
        </w:rPr>
        <w:t xml:space="preserve"> and</w:t>
      </w:r>
      <w:r w:rsidR="00EB2B27">
        <w:rPr>
          <w:rFonts w:ascii="Times New Roman" w:eastAsia="Calibri" w:hAnsi="Times New Roman" w:cs="Times New Roman"/>
          <w:sz w:val="24"/>
          <w:szCs w:val="24"/>
        </w:rPr>
        <w:t xml:space="preserve"> $89,324</w:t>
      </w:r>
      <w:r w:rsidR="00EB2B27" w:rsidRPr="00EB2B27">
        <w:rPr>
          <w:rFonts w:ascii="Times New Roman" w:eastAsia="Calibri" w:hAnsi="Times New Roman" w:cs="Times New Roman"/>
          <w:sz w:val="24"/>
          <w:szCs w:val="24"/>
        </w:rPr>
        <w:t xml:space="preserve"> </w:t>
      </w:r>
      <w:r w:rsidR="00EB2B27">
        <w:rPr>
          <w:rFonts w:ascii="Times New Roman" w:eastAsia="Calibri" w:hAnsi="Times New Roman" w:cs="Times New Roman"/>
          <w:sz w:val="24"/>
          <w:szCs w:val="24"/>
        </w:rPr>
        <w:t>in cash.</w:t>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Therefore,</w:t>
      </w:r>
      <w:r w:rsidR="00E70EC4">
        <w:rPr>
          <w:rFonts w:ascii="Times New Roman" w:eastAsia="Calibri" w:hAnsi="Times New Roman" w:cs="Times New Roman"/>
          <w:sz w:val="24"/>
          <w:szCs w:val="24"/>
        </w:rPr>
        <w:t xml:space="preserve"> I recommend a finding that</w:t>
      </w:r>
      <w:r w:rsidR="00B137BB" w:rsidRPr="00630EEB">
        <w:rPr>
          <w:rFonts w:ascii="Times New Roman" w:eastAsia="Calibri" w:hAnsi="Times New Roman" w:cs="Times New Roman"/>
          <w:sz w:val="24"/>
          <w:szCs w:val="24"/>
        </w:rPr>
        <w:t xml:space="preserve"> </w:t>
      </w:r>
      <w:r w:rsidR="00BF6A81">
        <w:rPr>
          <w:rFonts w:ascii="Times New Roman" w:eastAsia="Calibri" w:hAnsi="Times New Roman" w:cs="Times New Roman"/>
          <w:sz w:val="24"/>
          <w:szCs w:val="24"/>
        </w:rPr>
        <w:t>Patterson</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2F415A11"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BB4008">
        <w:rPr>
          <w:rFonts w:ascii="Times New Roman" w:hAnsi="Times New Roman" w:cs="Times New Roman"/>
          <w:sz w:val="24"/>
          <w:szCs w:val="24"/>
        </w:rPr>
        <w:t>Patterson</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18F52" w14:textId="77777777" w:rsidR="008E1566" w:rsidRDefault="008E1566" w:rsidP="00FC14B8">
      <w:r>
        <w:separator/>
      </w:r>
    </w:p>
  </w:endnote>
  <w:endnote w:type="continuationSeparator" w:id="0">
    <w:p w14:paraId="18A2FEA6" w14:textId="77777777" w:rsidR="008E1566" w:rsidRDefault="008E1566"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28C0" w14:textId="77777777" w:rsidR="008E1566" w:rsidRDefault="008E1566" w:rsidP="00FC14B8">
      <w:r>
        <w:separator/>
      </w:r>
    </w:p>
  </w:footnote>
  <w:footnote w:type="continuationSeparator" w:id="0">
    <w:p w14:paraId="00F47715" w14:textId="77777777" w:rsidR="008E1566" w:rsidRDefault="008E1566"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43772CD4" w:rsidR="00AB1CF5" w:rsidRPr="001C769A"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1C769A">
      <w:rPr>
        <w:rFonts w:ascii="Times New Roman" w:hAnsi="Times New Roman" w:cs="Times New Roman"/>
        <w:sz w:val="20"/>
        <w:szCs w:val="20"/>
      </w:rPr>
      <w:t xml:space="preserve">Docket No. </w:t>
    </w:r>
    <w:r w:rsidR="001C769A" w:rsidRPr="001C769A">
      <w:rPr>
        <w:rFonts w:ascii="Times New Roman" w:hAnsi="Times New Roman" w:cs="Times New Roman"/>
        <w:sz w:val="20"/>
        <w:szCs w:val="20"/>
      </w:rPr>
      <w:t>52427</w:t>
    </w:r>
    <w:r w:rsidRPr="001C769A">
      <w:rPr>
        <w:rFonts w:ascii="Times New Roman" w:hAnsi="Times New Roman" w:cs="Times New Roman"/>
        <w:sz w:val="20"/>
        <w:szCs w:val="20"/>
      </w:rPr>
      <w:tab/>
      <w:t xml:space="preserve">Memorandum of </w:t>
    </w:r>
    <w:r w:rsidR="001C769A">
      <w:rPr>
        <w:rFonts w:ascii="Times New Roman" w:hAnsi="Times New Roman" w:cs="Times New Roman"/>
        <w:sz w:val="20"/>
        <w:szCs w:val="20"/>
      </w:rPr>
      <w:t>Fred Bednarski III</w:t>
    </w:r>
    <w:r w:rsidRPr="001C769A">
      <w:rPr>
        <w:rFonts w:ascii="Times New Roman" w:hAnsi="Times New Roman" w:cs="Times New Roman"/>
        <w:sz w:val="20"/>
        <w:szCs w:val="20"/>
      </w:rPr>
      <w:t xml:space="preserve"> (</w:t>
    </w:r>
    <w:r w:rsidR="001C769A">
      <w:rPr>
        <w:rFonts w:ascii="Times New Roman" w:hAnsi="Times New Roman" w:cs="Times New Roman"/>
        <w:sz w:val="20"/>
        <w:szCs w:val="20"/>
      </w:rPr>
      <w:t>March 11</w:t>
    </w:r>
    <w:r w:rsidR="004F7FF6">
      <w:rPr>
        <w:rFonts w:ascii="Times New Roman" w:hAnsi="Times New Roman" w:cs="Times New Roman"/>
        <w:sz w:val="20"/>
        <w:szCs w:val="20"/>
      </w:rPr>
      <w:t>,</w:t>
    </w:r>
    <w:r w:rsidRPr="001C769A">
      <w:rPr>
        <w:rFonts w:ascii="Times New Roman" w:hAnsi="Times New Roman" w:cs="Times New Roman"/>
        <w:sz w:val="20"/>
        <w:szCs w:val="20"/>
      </w:rPr>
      <w:t xml:space="preserve"> </w:t>
    </w:r>
    <w:r w:rsidR="004F7FF6">
      <w:rPr>
        <w:rFonts w:ascii="Times New Roman" w:hAnsi="Times New Roman" w:cs="Times New Roman"/>
        <w:sz w:val="20"/>
        <w:szCs w:val="20"/>
      </w:rPr>
      <w:t>202</w:t>
    </w:r>
    <w:r w:rsidR="005A27FD">
      <w:rPr>
        <w:rFonts w:ascii="Times New Roman" w:hAnsi="Times New Roman" w:cs="Times New Roman"/>
        <w:sz w:val="20"/>
        <w:szCs w:val="20"/>
      </w:rPr>
      <w:t>2</w:t>
    </w:r>
    <w:r w:rsidRPr="001C769A">
      <w:rPr>
        <w:rFonts w:ascii="Times New Roman" w:hAnsi="Times New Roman" w:cs="Times New Roman"/>
        <w:sz w:val="20"/>
        <w:szCs w:val="20"/>
      </w:rPr>
      <w:t>)</w:t>
    </w:r>
    <w:r w:rsidR="00AB1CF5" w:rsidRPr="001C769A">
      <w:rPr>
        <w:rFonts w:ascii="Times New Roman" w:hAnsi="Times New Roman" w:cs="Times New Roman"/>
        <w:sz w:val="20"/>
        <w:szCs w:val="20"/>
      </w:rPr>
      <w:tab/>
      <w:t xml:space="preserve">Page 2 of </w:t>
    </w:r>
    <w:r w:rsidR="001C769A">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12C5C"/>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550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C769A"/>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0C21"/>
    <w:rsid w:val="00277306"/>
    <w:rsid w:val="00280E5D"/>
    <w:rsid w:val="00285FE2"/>
    <w:rsid w:val="00290054"/>
    <w:rsid w:val="00291F3A"/>
    <w:rsid w:val="0029284F"/>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6D85"/>
    <w:rsid w:val="00337091"/>
    <w:rsid w:val="00337428"/>
    <w:rsid w:val="0034753C"/>
    <w:rsid w:val="003514C3"/>
    <w:rsid w:val="00351FD0"/>
    <w:rsid w:val="0035231E"/>
    <w:rsid w:val="00353F42"/>
    <w:rsid w:val="00362130"/>
    <w:rsid w:val="003627C5"/>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4F7FF6"/>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3726C"/>
    <w:rsid w:val="005462D6"/>
    <w:rsid w:val="005464F5"/>
    <w:rsid w:val="005472A9"/>
    <w:rsid w:val="0055212A"/>
    <w:rsid w:val="005548D8"/>
    <w:rsid w:val="00556A8F"/>
    <w:rsid w:val="00564B25"/>
    <w:rsid w:val="00572A0A"/>
    <w:rsid w:val="00577AC2"/>
    <w:rsid w:val="00577F6F"/>
    <w:rsid w:val="0058163A"/>
    <w:rsid w:val="00581EA1"/>
    <w:rsid w:val="00595F3E"/>
    <w:rsid w:val="005A27FD"/>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00BC1"/>
    <w:rsid w:val="0081460B"/>
    <w:rsid w:val="00817299"/>
    <w:rsid w:val="0081750E"/>
    <w:rsid w:val="00820D76"/>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0854"/>
    <w:rsid w:val="008C37D7"/>
    <w:rsid w:val="008D585F"/>
    <w:rsid w:val="008E07A1"/>
    <w:rsid w:val="008E1566"/>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9F3766"/>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B4008"/>
    <w:rsid w:val="00BC29F9"/>
    <w:rsid w:val="00BD259A"/>
    <w:rsid w:val="00BE37E9"/>
    <w:rsid w:val="00BE633A"/>
    <w:rsid w:val="00BE7E6F"/>
    <w:rsid w:val="00BF000E"/>
    <w:rsid w:val="00BF3DFB"/>
    <w:rsid w:val="00BF6A81"/>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A6DEE"/>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E5E29"/>
    <w:rsid w:val="00DF20E2"/>
    <w:rsid w:val="00DF398D"/>
    <w:rsid w:val="00DF51C2"/>
    <w:rsid w:val="00DF7404"/>
    <w:rsid w:val="00E070B4"/>
    <w:rsid w:val="00E07B49"/>
    <w:rsid w:val="00E1406D"/>
    <w:rsid w:val="00E14844"/>
    <w:rsid w:val="00E169E7"/>
    <w:rsid w:val="00E2034B"/>
    <w:rsid w:val="00E213FA"/>
    <w:rsid w:val="00E218D4"/>
    <w:rsid w:val="00E2322C"/>
    <w:rsid w:val="00E26A58"/>
    <w:rsid w:val="00E419D9"/>
    <w:rsid w:val="00E428F8"/>
    <w:rsid w:val="00E4357E"/>
    <w:rsid w:val="00E50580"/>
    <w:rsid w:val="00E52263"/>
    <w:rsid w:val="00E70EC4"/>
    <w:rsid w:val="00E74C2A"/>
    <w:rsid w:val="00E74E02"/>
    <w:rsid w:val="00E75786"/>
    <w:rsid w:val="00E84986"/>
    <w:rsid w:val="00E87172"/>
    <w:rsid w:val="00E910F6"/>
    <w:rsid w:val="00E93B08"/>
    <w:rsid w:val="00E977CD"/>
    <w:rsid w:val="00E97F80"/>
    <w:rsid w:val="00EA1AE8"/>
    <w:rsid w:val="00EB2B27"/>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57DBC"/>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EA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2022-03-11T17:24:00Z</dcterms:created>
  <dcterms:modified xsi:type="dcterms:W3CDTF">2022-03-11T17:25:00Z</dcterms:modified>
</cp:coreProperties>
</file>